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FB" w:rsidRDefault="00476DB2" w:rsidP="004164FB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ФГБУ «ААНИИ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» </w:t>
      </w:r>
      <w:r w:rsidR="004164FB" w:rsidRPr="00233E9C">
        <w:rPr>
          <w:rFonts w:ascii="Times New Roman" w:hAnsi="Times New Roman" w:cs="Times New Roman"/>
          <w:b/>
          <w:bCs/>
        </w:rPr>
        <w:t>ВОПРОСЫ</w:t>
      </w:r>
      <w:r w:rsidR="004164FB">
        <w:rPr>
          <w:rFonts w:ascii="Times New Roman" w:hAnsi="Times New Roman" w:cs="Times New Roman"/>
          <w:b/>
          <w:bCs/>
        </w:rPr>
        <w:t xml:space="preserve"> ВСТУПИТЕЛЬНОГО ЭКЗАМЕНА ПО ДИСЦИПЛИНЕ</w:t>
      </w:r>
    </w:p>
    <w:p w:rsidR="004164FB" w:rsidRPr="004164FB" w:rsidRDefault="004164FB" w:rsidP="004164F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64FB">
        <w:rPr>
          <w:rFonts w:ascii="Times New Roman" w:hAnsi="Times New Roman"/>
          <w:b/>
          <w:bCs/>
          <w:sz w:val="24"/>
          <w:szCs w:val="24"/>
        </w:rPr>
        <w:t>«ФИЛОСОФИЯ»</w:t>
      </w:r>
    </w:p>
    <w:p w:rsidR="004164FB" w:rsidRPr="004164FB" w:rsidRDefault="004164FB" w:rsidP="004164FB">
      <w:pPr>
        <w:pStyle w:val="a3"/>
        <w:spacing w:before="0" w:beforeAutospacing="0" w:after="0" w:afterAutospacing="0" w:line="360" w:lineRule="auto"/>
        <w:ind w:left="2832" w:firstLine="708"/>
        <w:rPr>
          <w:rFonts w:ascii="Times New Roman" w:hAnsi="Times New Roman" w:cs="Times New Roman"/>
          <w:b/>
        </w:rPr>
      </w:pPr>
      <w:r w:rsidRPr="004164FB">
        <w:rPr>
          <w:rFonts w:ascii="Times New Roman" w:hAnsi="Times New Roman" w:cs="Times New Roman"/>
          <w:b/>
        </w:rPr>
        <w:t>Исторический раздел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Философия как миропонимание. Способы миропонимания: мифология, искусство, религия, наука, философия.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История философии: смысл и этапы.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Философские идеи Древнего востока.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Особенность, основные проблемы, понятия, периоды и школы древнегреческой философии.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Учение о бытии в ранней греческой философии.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Идея как форма бытия и познания сущего в философии Платона.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 xml:space="preserve">Аристотель о разделении наук, об устройстве, причинах и движении </w:t>
      </w:r>
      <w:proofErr w:type="gramStart"/>
      <w:r w:rsidRPr="00C524EA">
        <w:rPr>
          <w:rFonts w:ascii="Times New Roman" w:hAnsi="Times New Roman"/>
          <w:sz w:val="24"/>
          <w:szCs w:val="24"/>
        </w:rPr>
        <w:t>сущего</w:t>
      </w:r>
      <w:proofErr w:type="gramEnd"/>
      <w:r w:rsidRPr="00C524EA">
        <w:rPr>
          <w:rFonts w:ascii="Times New Roman" w:hAnsi="Times New Roman"/>
          <w:sz w:val="24"/>
          <w:szCs w:val="24"/>
        </w:rPr>
        <w:t>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Средневековая философия о Боге, мире, человеке: основные понятия и традиции.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Философия эпохи антропоцентризма от Возрождения до современности: основные проблемы, понятия, этапы, течения.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Ф. Бэкон: методологические основания науки Нового времени.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  <w:lang w:val="en-US"/>
        </w:rPr>
        <w:t>Ego</w:t>
      </w:r>
      <w:r w:rsidRPr="00C52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4EA">
        <w:rPr>
          <w:rFonts w:ascii="Times New Roman" w:hAnsi="Times New Roman"/>
          <w:sz w:val="24"/>
          <w:szCs w:val="24"/>
          <w:lang w:val="en-US"/>
        </w:rPr>
        <w:t>cogitans</w:t>
      </w:r>
      <w:proofErr w:type="spellEnd"/>
      <w:r w:rsidRPr="00C524EA">
        <w:rPr>
          <w:rFonts w:ascii="Times New Roman" w:hAnsi="Times New Roman"/>
          <w:sz w:val="24"/>
          <w:szCs w:val="24"/>
        </w:rPr>
        <w:t xml:space="preserve"> Декарта как основание мышления Нового времени.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Учение Канта о возможностях и границах познающего разума.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Метод и система гегелевской философии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К. Маркс о производственной сущности общественных отношений.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Ф. Ницше: сверхчеловек против религии, метафизики, морали.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Позитивизм: проект философского оправдания науки (</w:t>
      </w:r>
      <w:r w:rsidRPr="00C524EA">
        <w:rPr>
          <w:rFonts w:ascii="Times New Roman" w:hAnsi="Times New Roman"/>
          <w:sz w:val="24"/>
          <w:szCs w:val="24"/>
          <w:lang w:val="en-US"/>
        </w:rPr>
        <w:t>XIX</w:t>
      </w:r>
      <w:r w:rsidRPr="00C524EA">
        <w:rPr>
          <w:rFonts w:ascii="Times New Roman" w:hAnsi="Times New Roman"/>
          <w:sz w:val="24"/>
          <w:szCs w:val="24"/>
        </w:rPr>
        <w:t xml:space="preserve"> – </w:t>
      </w:r>
      <w:r w:rsidRPr="00C524EA">
        <w:rPr>
          <w:rFonts w:ascii="Times New Roman" w:hAnsi="Times New Roman"/>
          <w:sz w:val="24"/>
          <w:szCs w:val="24"/>
          <w:lang w:val="en-US"/>
        </w:rPr>
        <w:t>XX</w:t>
      </w:r>
      <w:r w:rsidRPr="00C524EA">
        <w:rPr>
          <w:rFonts w:ascii="Times New Roman" w:hAnsi="Times New Roman"/>
          <w:sz w:val="24"/>
          <w:szCs w:val="24"/>
        </w:rPr>
        <w:t xml:space="preserve"> в.).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 xml:space="preserve">Философия как строгая наука: проект феноменологии Э. </w:t>
      </w:r>
      <w:proofErr w:type="spellStart"/>
      <w:r w:rsidRPr="00C524EA">
        <w:rPr>
          <w:rFonts w:ascii="Times New Roman" w:hAnsi="Times New Roman"/>
          <w:sz w:val="24"/>
          <w:szCs w:val="24"/>
        </w:rPr>
        <w:t>Гуссерля</w:t>
      </w:r>
      <w:proofErr w:type="spellEnd"/>
      <w:r w:rsidRPr="00C524EA">
        <w:rPr>
          <w:rFonts w:ascii="Times New Roman" w:hAnsi="Times New Roman"/>
          <w:sz w:val="24"/>
          <w:szCs w:val="24"/>
        </w:rPr>
        <w:t>.</w:t>
      </w:r>
    </w:p>
    <w:p w:rsidR="004164FB" w:rsidRPr="00C524EA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Философия как герменевтика бытия (М. Хайдеггер).</w:t>
      </w:r>
    </w:p>
    <w:p w:rsidR="004164FB" w:rsidRDefault="004164FB" w:rsidP="004164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Развитие философии в России: особенность, этапы, идеи, выдающиеся представители.</w:t>
      </w:r>
    </w:p>
    <w:p w:rsidR="004164FB" w:rsidRDefault="004164FB" w:rsidP="00416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4FB" w:rsidRDefault="004164FB" w:rsidP="00416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4FB" w:rsidRPr="00C524EA" w:rsidRDefault="004164FB" w:rsidP="004164F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b/>
          <w:sz w:val="24"/>
          <w:szCs w:val="24"/>
        </w:rPr>
        <w:t>Проблемно-тематический раздел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Предмет, метод и проблемное поле философии.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Проблема бытия и основные стратегии ее решения.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Мир и его устройство: основные области сущего.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Система категорий: основные философские парадигмы.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Пространство и время как коренные условия понимания сущего.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Философское понимание движения.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Понятие развития.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Человек как предмет философии.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Сознание: основные философские подходы.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Язык как философская проблема.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Философия как гносеология: стратегии истолкования познания.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Философское понимание науки: сущность, методы, язык, классификация.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История науки в контексте истории культуры: основные этапы.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Человек как этическое существо: свобода, совесть, поступок.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Экология как экзистенциальная проблема.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Понятие личности в философии, основные теории личности.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Философские проблемы культуры, её структурные элементы.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Общество и цивилизация: основные подходы.</w:t>
      </w:r>
    </w:p>
    <w:p w:rsidR="004164FB" w:rsidRPr="00C524EA" w:rsidRDefault="004164FB" w:rsidP="004164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4EA">
        <w:rPr>
          <w:rFonts w:ascii="Times New Roman" w:hAnsi="Times New Roman"/>
          <w:sz w:val="24"/>
          <w:szCs w:val="24"/>
        </w:rPr>
        <w:t>Глобальные проблемы современной цивилизации и перспективы её выживания.</w:t>
      </w:r>
    </w:p>
    <w:p w:rsidR="004164FB" w:rsidRDefault="004164FB"/>
    <w:sectPr w:rsidR="0041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0DE"/>
    <w:multiLevelType w:val="hybridMultilevel"/>
    <w:tmpl w:val="DEBC8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710D64"/>
    <w:multiLevelType w:val="hybridMultilevel"/>
    <w:tmpl w:val="0F127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FB"/>
    <w:rsid w:val="004164FB"/>
    <w:rsid w:val="00476DB2"/>
    <w:rsid w:val="009031F5"/>
    <w:rsid w:val="00B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4F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4F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Скакунова Милица</dc:creator>
  <cp:lastModifiedBy>Скакунова Милица</cp:lastModifiedBy>
  <cp:revision>2</cp:revision>
  <dcterms:created xsi:type="dcterms:W3CDTF">2020-10-02T16:40:00Z</dcterms:created>
  <dcterms:modified xsi:type="dcterms:W3CDTF">2020-10-02T16:51:00Z</dcterms:modified>
</cp:coreProperties>
</file>